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DB2DA3" w:rsidP="00BF2165">
      <w:pPr>
        <w:jc w:val="center"/>
        <w:rPr>
          <w:rFonts w:ascii="Arial" w:hAnsi="Arial" w:cs="Arial"/>
          <w:sz w:val="20"/>
          <w:szCs w:val="20"/>
        </w:rPr>
      </w:pPr>
      <w:r>
        <w:rPr>
          <w:rFonts w:ascii="Arial" w:hAnsi="Arial" w:cs="Arial"/>
          <w:b/>
          <w:sz w:val="20"/>
          <w:szCs w:val="20"/>
        </w:rPr>
        <w:t>Emerging Technologies</w:t>
      </w: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1747A0" w:rsidRPr="006C5648" w:rsidTr="00BF2165">
        <w:tc>
          <w:tcPr>
            <w:tcW w:w="846" w:type="dxa"/>
            <w:tcBorders>
              <w:top w:val="single" w:sz="4" w:space="0" w:color="auto"/>
              <w:left w:val="single" w:sz="4" w:space="0" w:color="auto"/>
              <w:bottom w:val="single" w:sz="4" w:space="0" w:color="auto"/>
              <w:right w:val="single" w:sz="4" w:space="0" w:color="auto"/>
            </w:tcBorders>
          </w:tcPr>
          <w:p w:rsidR="001747A0" w:rsidRPr="006C5648" w:rsidRDefault="001747A0"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747A0" w:rsidRDefault="006356D2">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bookmarkStart w:id="0" w:name="_GoBack"/>
            <w:bookmarkEnd w:id="0"/>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Rupee Drawing Arrangement - Enabling Bharat Bill Payment System (BBPS) to process cross-border inbound Bill Payments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710775">
            <w:pPr>
              <w:spacing w:line="240" w:lineRule="auto"/>
              <w:jc w:val="both"/>
              <w:rPr>
                <w:rFonts w:ascii="Calibri" w:hAnsi="Calibri" w:cs="Calibri"/>
                <w:color w:val="000000"/>
                <w:sz w:val="20"/>
                <w:szCs w:val="20"/>
              </w:rPr>
            </w:pPr>
            <w:r>
              <w:rPr>
                <w:rFonts w:ascii="Calibri" w:hAnsi="Calibri" w:cs="Calibri"/>
                <w:color w:val="000000"/>
                <w:sz w:val="20"/>
                <w:szCs w:val="20"/>
              </w:rPr>
              <w:t>Central Payments Fraud Information Registry – Migration of Reporting to DAKSH</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745312" w:rsidRDefault="00745312" w:rsidP="0036265F">
      <w:pPr>
        <w:spacing w:line="259" w:lineRule="auto"/>
        <w:rPr>
          <w:rFonts w:ascii="Arial" w:hAnsi="Arial" w:cs="Arial"/>
          <w:b/>
          <w:bCs/>
          <w:color w:val="000000"/>
          <w:sz w:val="20"/>
          <w:szCs w:val="20"/>
        </w:rPr>
      </w:pPr>
    </w:p>
    <w:p w:rsidR="00745312" w:rsidRDefault="00745312" w:rsidP="0036265F">
      <w:pPr>
        <w:spacing w:line="259" w:lineRule="auto"/>
        <w:rPr>
          <w:rFonts w:ascii="Arial" w:hAnsi="Arial" w:cs="Arial"/>
          <w:b/>
          <w:bCs/>
          <w:color w:val="000000"/>
          <w:sz w:val="20"/>
          <w:szCs w:val="20"/>
        </w:rPr>
      </w:pPr>
    </w:p>
    <w:p w:rsidR="00745312" w:rsidRDefault="00745312" w:rsidP="0036265F">
      <w:pPr>
        <w:spacing w:line="259" w:lineRule="auto"/>
        <w:rPr>
          <w:rFonts w:ascii="Arial" w:hAnsi="Arial" w:cs="Arial"/>
          <w:b/>
          <w:bCs/>
          <w:color w:val="000000"/>
          <w:sz w:val="20"/>
          <w:szCs w:val="20"/>
        </w:rPr>
      </w:pPr>
    </w:p>
    <w:p w:rsidR="00745312" w:rsidRDefault="00745312" w:rsidP="0036265F">
      <w:pPr>
        <w:spacing w:line="259" w:lineRule="auto"/>
        <w:rPr>
          <w:rFonts w:ascii="Arial" w:hAnsi="Arial" w:cs="Arial"/>
          <w:b/>
          <w:bCs/>
          <w:color w:val="000000"/>
          <w:sz w:val="20"/>
          <w:szCs w:val="20"/>
        </w:rPr>
      </w:pPr>
    </w:p>
    <w:p w:rsidR="00745312" w:rsidRDefault="00745312" w:rsidP="0036265F">
      <w:pPr>
        <w:spacing w:line="259" w:lineRule="auto"/>
        <w:rPr>
          <w:rFonts w:ascii="Arial" w:hAnsi="Arial" w:cs="Arial"/>
          <w:b/>
          <w:bCs/>
          <w:color w:val="000000"/>
          <w:sz w:val="20"/>
          <w:szCs w:val="20"/>
        </w:rPr>
      </w:pPr>
    </w:p>
    <w:p w:rsidR="00436D36" w:rsidRPr="0036265F" w:rsidRDefault="00436D36" w:rsidP="0036265F">
      <w:pPr>
        <w:spacing w:line="259" w:lineRule="auto"/>
        <w:rPr>
          <w:rFonts w:ascii="Arial" w:hAnsi="Arial" w:cs="Arial"/>
          <w:bCs/>
          <w:color w:val="000000"/>
          <w:sz w:val="20"/>
          <w:szCs w:val="20"/>
        </w:rPr>
      </w:pPr>
      <w:r>
        <w:rPr>
          <w:rFonts w:ascii="Arial" w:hAnsi="Arial" w:cs="Arial"/>
          <w:b/>
          <w:bCs/>
          <w:color w:val="000000"/>
          <w:sz w:val="20"/>
          <w:szCs w:val="20"/>
        </w:rPr>
        <w:t>Reserve Bank - Integrated Ombudsman Scheme, 2021 (RBIOS, 2021)</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EXECUTIVE DIRECTOR</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436D36" w:rsidRDefault="00436D36" w:rsidP="00436D36">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436D36" w:rsidRDefault="00436D36" w:rsidP="00DE6119">
      <w:pPr>
        <w:pStyle w:val="NormalWeb"/>
        <w:jc w:val="right"/>
        <w:rPr>
          <w:rFonts w:ascii="Arial" w:hAnsi="Arial" w:cs="Arial"/>
          <w:color w:val="000000"/>
          <w:sz w:val="20"/>
          <w:szCs w:val="20"/>
        </w:rPr>
      </w:pPr>
      <w:r>
        <w:rPr>
          <w:rFonts w:ascii="Arial" w:hAnsi="Arial" w:cs="Arial"/>
          <w:color w:val="000000"/>
          <w:sz w:val="20"/>
          <w:szCs w:val="20"/>
        </w:rPr>
        <w:t>August 5,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6"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7" w:tgtFrame="_blank" w:history="1">
        <w:r>
          <w:rPr>
            <w:rStyle w:val="Hyperlink"/>
            <w:rFonts w:ascii="Arial" w:hAnsi="Arial" w:cs="Arial"/>
            <w:sz w:val="20"/>
            <w:szCs w:val="20"/>
          </w:rPr>
          <w:t>annexed</w:t>
        </w:r>
      </w:hyperlink>
      <w:r>
        <w:rPr>
          <w:rFonts w:ascii="Arial" w:hAnsi="Arial" w:cs="Arial"/>
          <w:color w:val="000000"/>
          <w:sz w:val="20"/>
          <w:szCs w:val="20"/>
        </w:rPr>
        <w:t>.</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(Anil Kumar Sharma)</w:t>
      </w:r>
    </w:p>
    <w:p w:rsidR="00436D36" w:rsidRDefault="00436D36" w:rsidP="00436D36">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DE6119" w:rsidRDefault="00DE6119" w:rsidP="00DE6119">
      <w:r>
        <w:t>More details can be referred to in the below link.</w:t>
      </w:r>
    </w:p>
    <w:p w:rsidR="00A410BB" w:rsidRDefault="00DE6119" w:rsidP="00DE6119">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https://www.rbi.org.in/Scripts/NotificationUser.aspx?Id=12371&amp;Mode=0</w:t>
        </w:r>
      </w:hyperlink>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1747A0" w:rsidRDefault="001747A0" w:rsidP="001747A0">
      <w:pPr>
        <w:pStyle w:val="NormalWeb"/>
        <w:rPr>
          <w:rFonts w:ascii="Arial" w:hAnsi="Arial" w:cs="Arial"/>
          <w:b/>
          <w:bCs/>
          <w:color w:val="000000"/>
          <w:sz w:val="20"/>
          <w:szCs w:val="20"/>
        </w:rPr>
      </w:pPr>
      <w:r>
        <w:rPr>
          <w:rFonts w:ascii="Arial" w:hAnsi="Arial" w:cs="Arial"/>
          <w:b/>
          <w:bCs/>
          <w:color w:val="000000"/>
          <w:sz w:val="20"/>
          <w:szCs w:val="20"/>
        </w:rPr>
        <w:lastRenderedPageBreak/>
        <w:t>Guidelines on Digital Lending</w:t>
      </w:r>
    </w:p>
    <w:p w:rsidR="001747A0" w:rsidRDefault="001747A0" w:rsidP="001747A0">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1747A0" w:rsidRDefault="001747A0" w:rsidP="001747A0">
      <w:pPr>
        <w:pStyle w:val="NormalWeb"/>
        <w:jc w:val="right"/>
        <w:rPr>
          <w:rFonts w:ascii="Arial" w:hAnsi="Arial" w:cs="Arial"/>
          <w:color w:val="000000"/>
          <w:sz w:val="20"/>
          <w:szCs w:val="20"/>
        </w:rPr>
      </w:pPr>
      <w:r>
        <w:rPr>
          <w:rFonts w:ascii="Arial" w:hAnsi="Arial" w:cs="Arial"/>
          <w:color w:val="000000"/>
          <w:sz w:val="20"/>
          <w:szCs w:val="20"/>
        </w:rPr>
        <w:t>September 02, 2022</w:t>
      </w:r>
    </w:p>
    <w:p w:rsidR="001747A0" w:rsidRDefault="001747A0" w:rsidP="001747A0">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1747A0" w:rsidRDefault="001747A0" w:rsidP="001747A0">
      <w:pPr>
        <w:pStyle w:val="NormalWeb"/>
        <w:rPr>
          <w:rFonts w:ascii="Arial" w:hAnsi="Arial" w:cs="Arial"/>
          <w:color w:val="000000"/>
          <w:sz w:val="20"/>
          <w:szCs w:val="20"/>
        </w:rPr>
      </w:pPr>
      <w:r>
        <w:rPr>
          <w:rFonts w:ascii="Arial" w:hAnsi="Arial" w:cs="Arial"/>
          <w:color w:val="000000"/>
          <w:sz w:val="20"/>
          <w:szCs w:val="20"/>
        </w:rPr>
        <w:t>Madam/ Sir,</w:t>
      </w:r>
    </w:p>
    <w:p w:rsidR="001747A0" w:rsidRDefault="001747A0" w:rsidP="001747A0">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1747A0" w:rsidRDefault="001747A0" w:rsidP="001747A0">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9"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10"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1747A0" w:rsidRDefault="001747A0" w:rsidP="001747A0">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11"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1747A0" w:rsidRDefault="001747A0" w:rsidP="001747A0">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1747A0" w:rsidRDefault="001747A0" w:rsidP="001747A0">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1747A0" w:rsidRDefault="001747A0" w:rsidP="001747A0">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1747A0" w:rsidRDefault="001747A0" w:rsidP="001747A0">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1747A0" w:rsidRDefault="001747A0" w:rsidP="001747A0">
      <w:pPr>
        <w:spacing w:before="240" w:after="240"/>
        <w:rPr>
          <w:rFonts w:ascii="Times New Roman" w:hAnsi="Times New Roman" w:cs="Times New Roman"/>
          <w:sz w:val="24"/>
          <w:szCs w:val="24"/>
        </w:rPr>
      </w:pPr>
    </w:p>
    <w:p w:rsidR="001747A0" w:rsidRDefault="001747A0" w:rsidP="001747A0">
      <w:pPr>
        <w:spacing w:before="240" w:after="240"/>
        <w:rPr>
          <w:rFonts w:ascii="Times New Roman" w:hAnsi="Times New Roman" w:cs="Times New Roman"/>
          <w:sz w:val="24"/>
          <w:szCs w:val="24"/>
        </w:rPr>
      </w:pPr>
    </w:p>
    <w:p w:rsidR="001747A0" w:rsidRDefault="001747A0" w:rsidP="001747A0">
      <w:r>
        <w:t>More details can be referred to in the below link.</w:t>
      </w:r>
    </w:p>
    <w:p w:rsidR="001747A0" w:rsidRDefault="001747A0" w:rsidP="001747A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 w:history="1">
        <w:r w:rsidRPr="006865D6">
          <w:rPr>
            <w:rStyle w:val="Hyperlink"/>
            <w:rFonts w:ascii="Arial" w:hAnsi="Arial" w:cs="Arial"/>
            <w:bCs/>
            <w:sz w:val="20"/>
            <w:szCs w:val="20"/>
          </w:rPr>
          <w:t>https://rbi.org.in/Scripts/BS_CircularIndexDisplay.aspx?Id=12382</w:t>
        </w:r>
      </w:hyperlink>
    </w:p>
    <w:p w:rsidR="001747A0" w:rsidRDefault="001747A0" w:rsidP="001747A0">
      <w:pPr>
        <w:pStyle w:val="NormalWeb"/>
        <w:rPr>
          <w:rFonts w:ascii="Arial" w:hAnsi="Arial" w:cs="Arial"/>
          <w:bCs/>
          <w:color w:val="000000"/>
          <w:sz w:val="20"/>
          <w:szCs w:val="20"/>
        </w:rPr>
      </w:pPr>
    </w:p>
    <w:p w:rsidR="001747A0" w:rsidRDefault="001747A0" w:rsidP="001747A0">
      <w:pPr>
        <w:pStyle w:val="NormalWeb"/>
        <w:rPr>
          <w:rFonts w:ascii="Arial" w:hAnsi="Arial" w:cs="Arial"/>
          <w:color w:val="000000"/>
          <w:sz w:val="20"/>
          <w:szCs w:val="20"/>
        </w:rPr>
      </w:pPr>
    </w:p>
    <w:p w:rsidR="002313C4" w:rsidRDefault="002313C4" w:rsidP="00DB76CD">
      <w:pPr>
        <w:rPr>
          <w:rFonts w:ascii="Arial" w:hAnsi="Arial" w:cs="Arial"/>
          <w:b/>
          <w:bCs/>
          <w:color w:val="000000"/>
          <w:sz w:val="20"/>
          <w:szCs w:val="20"/>
        </w:rPr>
      </w:pPr>
    </w:p>
    <w:p w:rsidR="00DB76CD" w:rsidRPr="00147837" w:rsidRDefault="00DB76CD" w:rsidP="00DB76CD">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DB76CD" w:rsidRPr="00147837" w:rsidRDefault="00DB76CD" w:rsidP="00DB76CD">
      <w:pPr>
        <w:pStyle w:val="NormalWeb"/>
        <w:jc w:val="right"/>
        <w:rPr>
          <w:rFonts w:ascii="Arial" w:hAnsi="Arial" w:cs="Arial"/>
          <w:sz w:val="20"/>
          <w:szCs w:val="20"/>
        </w:rPr>
      </w:pPr>
      <w:r w:rsidRPr="00147837">
        <w:rPr>
          <w:rFonts w:ascii="Arial" w:hAnsi="Arial" w:cs="Arial"/>
          <w:sz w:val="20"/>
          <w:szCs w:val="20"/>
        </w:rPr>
        <w:t>September 15, 2022</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Madam/Sir,</w:t>
      </w:r>
    </w:p>
    <w:p w:rsidR="00DB76CD" w:rsidRPr="00147837" w:rsidRDefault="00DB76CD" w:rsidP="00DB76CD">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Please refer to </w:t>
      </w:r>
      <w:hyperlink r:id="rId13"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2. As announced in Para 6 of the </w:t>
      </w:r>
      <w:hyperlink r:id="rId14"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15"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DB76CD" w:rsidRPr="00147837" w:rsidRDefault="00DB76CD" w:rsidP="00DB76CD">
      <w:pPr>
        <w:pStyle w:val="NormalWeb"/>
        <w:spacing w:after="0" w:afterAutospacing="0"/>
        <w:rPr>
          <w:rFonts w:ascii="Arial" w:hAnsi="Arial" w:cs="Arial"/>
          <w:sz w:val="20"/>
          <w:szCs w:val="20"/>
        </w:rPr>
      </w:pPr>
      <w:r w:rsidRPr="00147837">
        <w:rPr>
          <w:rFonts w:ascii="Arial" w:hAnsi="Arial" w:cs="Arial"/>
          <w:sz w:val="20"/>
          <w:szCs w:val="20"/>
        </w:rPr>
        <w:t>Yours faithfully,</w:t>
      </w:r>
    </w:p>
    <w:p w:rsidR="00DB76CD" w:rsidRPr="009F305B" w:rsidRDefault="00DB76CD" w:rsidP="00DB76CD">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DB76CD" w:rsidRDefault="00DB76CD" w:rsidP="00DB76CD"/>
    <w:p w:rsidR="00DB76CD" w:rsidRDefault="00DB76CD" w:rsidP="00DB76CD"/>
    <w:p w:rsidR="00DB76CD" w:rsidRPr="00435B25" w:rsidRDefault="00DB76CD" w:rsidP="00DB76CD">
      <w:pPr>
        <w:spacing w:after="0"/>
        <w:rPr>
          <w:rFonts w:ascii="Arial" w:hAnsi="Arial" w:cs="Arial"/>
          <w:sz w:val="20"/>
          <w:szCs w:val="20"/>
        </w:rPr>
      </w:pPr>
      <w:r w:rsidRPr="00435B25">
        <w:rPr>
          <w:rFonts w:ascii="Arial" w:hAnsi="Arial" w:cs="Arial"/>
          <w:sz w:val="20"/>
          <w:szCs w:val="20"/>
        </w:rPr>
        <w:t>More details can be referred to in the below link.</w:t>
      </w:r>
    </w:p>
    <w:p w:rsidR="00DB76CD" w:rsidRDefault="00DB76CD" w:rsidP="00DB76C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6" w:history="1">
        <w:r w:rsidRPr="00200311">
          <w:rPr>
            <w:rStyle w:val="Hyperlink"/>
            <w:rFonts w:ascii="Arial" w:hAnsi="Arial" w:cs="Arial"/>
            <w:sz w:val="20"/>
            <w:szCs w:val="20"/>
          </w:rPr>
          <w:t>https://www.rbi.org.in/scripts/NotificationUser.aspx?Id=12386&amp;Mode=0</w:t>
        </w:r>
      </w:hyperlink>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36265F" w:rsidRDefault="0036265F" w:rsidP="00DE6119">
      <w:pPr>
        <w:pStyle w:val="NormalWeb"/>
        <w:rPr>
          <w:rFonts w:ascii="Arial" w:hAnsi="Arial" w:cs="Arial"/>
          <w:b/>
          <w:bCs/>
          <w:color w:val="000000"/>
          <w:sz w:val="20"/>
          <w:szCs w:val="20"/>
        </w:rPr>
      </w:pPr>
    </w:p>
    <w:p w:rsidR="0036265F" w:rsidRDefault="0036265F" w:rsidP="0036265F">
      <w:pPr>
        <w:spacing w:line="259" w:lineRule="auto"/>
        <w:rPr>
          <w:rFonts w:ascii="Arial" w:hAnsi="Arial" w:cs="Arial"/>
          <w:b/>
          <w:bCs/>
          <w:color w:val="000000"/>
          <w:sz w:val="20"/>
          <w:szCs w:val="20"/>
        </w:rPr>
      </w:pPr>
      <w:r>
        <w:rPr>
          <w:rFonts w:ascii="Arial" w:hAnsi="Arial" w:cs="Arial"/>
          <w:b/>
          <w:bCs/>
          <w:color w:val="000000"/>
          <w:sz w:val="20"/>
          <w:szCs w:val="20"/>
        </w:rPr>
        <w:lastRenderedPageBreak/>
        <w:t>Central Payments Fraud Information Registry – Migration of Reporting to DAKSH</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36265F" w:rsidRDefault="0036265F" w:rsidP="0036265F">
      <w:pPr>
        <w:pStyle w:val="NormalWeb"/>
        <w:jc w:val="right"/>
        <w:rPr>
          <w:rFonts w:ascii="Arial" w:hAnsi="Arial" w:cs="Arial"/>
          <w:color w:val="000000"/>
          <w:sz w:val="20"/>
          <w:szCs w:val="20"/>
        </w:rPr>
      </w:pPr>
      <w:r>
        <w:rPr>
          <w:rFonts w:ascii="Arial" w:hAnsi="Arial" w:cs="Arial"/>
          <w:color w:val="000000"/>
          <w:sz w:val="20"/>
          <w:szCs w:val="20"/>
        </w:rPr>
        <w:t>December 26, 2022</w:t>
      </w:r>
    </w:p>
    <w:p w:rsidR="0036265F" w:rsidRDefault="0036265F" w:rsidP="0036265F">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Madam / Dear Sir,</w:t>
      </w:r>
    </w:p>
    <w:p w:rsidR="0036265F" w:rsidRDefault="0036265F" w:rsidP="0036265F">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17"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18"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19" w:anchor="AN1" w:history="1">
        <w:r>
          <w:rPr>
            <w:rStyle w:val="Hyperlink"/>
            <w:rFonts w:ascii="Arial" w:hAnsi="Arial" w:cs="Arial"/>
            <w:sz w:val="20"/>
            <w:szCs w:val="20"/>
          </w:rPr>
          <w:t>Annex</w:t>
        </w:r>
      </w:hyperlink>
      <w:r>
        <w:rPr>
          <w:rFonts w:ascii="Arial" w:hAnsi="Arial" w:cs="Arial"/>
          <w:color w:val="000000"/>
          <w:sz w:val="20"/>
          <w:szCs w:val="20"/>
        </w:rPr>
        <w:t>.</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Yours faithfully,</w:t>
      </w:r>
    </w:p>
    <w:p w:rsidR="0036265F" w:rsidRDefault="0036265F" w:rsidP="0036265F">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36265F" w:rsidRDefault="0036265F" w:rsidP="0036265F">
      <w:pPr>
        <w:spacing w:line="259" w:lineRule="auto"/>
        <w:rPr>
          <w:rFonts w:ascii="Arial" w:hAnsi="Arial" w:cs="Arial"/>
          <w:sz w:val="20"/>
          <w:szCs w:val="20"/>
        </w:rPr>
      </w:pPr>
    </w:p>
    <w:p w:rsidR="0036265F" w:rsidRDefault="0036265F" w:rsidP="0036265F">
      <w:pPr>
        <w:spacing w:line="259" w:lineRule="auto"/>
        <w:rPr>
          <w:rFonts w:ascii="Arial" w:hAnsi="Arial" w:cs="Arial"/>
          <w:sz w:val="20"/>
          <w:szCs w:val="20"/>
        </w:rPr>
      </w:pPr>
    </w:p>
    <w:p w:rsidR="0036265F" w:rsidRDefault="0036265F" w:rsidP="0036265F">
      <w:r>
        <w:t>More details can be referred to in the below link.</w:t>
      </w:r>
    </w:p>
    <w:p w:rsidR="0036265F" w:rsidRDefault="0036265F" w:rsidP="0036265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B27270">
          <w:rPr>
            <w:rStyle w:val="Hyperlink"/>
            <w:rFonts w:ascii="Arial" w:hAnsi="Arial" w:cs="Arial"/>
            <w:bCs/>
            <w:sz w:val="20"/>
            <w:szCs w:val="20"/>
          </w:rPr>
          <w:t>https://m.rbi.org.in/scripts/FS_Notification.aspx?Id=12431&amp;fn=9&amp;Mode=0</w:t>
        </w:r>
      </w:hyperlink>
    </w:p>
    <w:p w:rsidR="0036265F" w:rsidRDefault="0036265F" w:rsidP="00DE6119">
      <w:pPr>
        <w:pStyle w:val="NormalWeb"/>
        <w:rPr>
          <w:rFonts w:ascii="Arial" w:hAnsi="Arial" w:cs="Arial"/>
          <w:b/>
          <w:bCs/>
          <w:color w:val="000000"/>
          <w:sz w:val="20"/>
          <w:szCs w:val="20"/>
        </w:rPr>
      </w:pPr>
    </w:p>
    <w:sectPr w:rsidR="00362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C6A0B"/>
    <w:rsid w:val="000F6CB6"/>
    <w:rsid w:val="00121B22"/>
    <w:rsid w:val="00147837"/>
    <w:rsid w:val="00166E3C"/>
    <w:rsid w:val="001747A0"/>
    <w:rsid w:val="001B0D06"/>
    <w:rsid w:val="001E7AD4"/>
    <w:rsid w:val="001F219E"/>
    <w:rsid w:val="002313C4"/>
    <w:rsid w:val="00245B30"/>
    <w:rsid w:val="002A3764"/>
    <w:rsid w:val="002C55B6"/>
    <w:rsid w:val="0036265F"/>
    <w:rsid w:val="00435B25"/>
    <w:rsid w:val="00436D36"/>
    <w:rsid w:val="0045114B"/>
    <w:rsid w:val="004D6B44"/>
    <w:rsid w:val="004E718A"/>
    <w:rsid w:val="00581BDE"/>
    <w:rsid w:val="00583041"/>
    <w:rsid w:val="005A38FC"/>
    <w:rsid w:val="005D5DB2"/>
    <w:rsid w:val="006356D2"/>
    <w:rsid w:val="00645D84"/>
    <w:rsid w:val="0068363E"/>
    <w:rsid w:val="006C5648"/>
    <w:rsid w:val="00706A14"/>
    <w:rsid w:val="00710775"/>
    <w:rsid w:val="00744532"/>
    <w:rsid w:val="00745312"/>
    <w:rsid w:val="008462A3"/>
    <w:rsid w:val="0085415B"/>
    <w:rsid w:val="00912551"/>
    <w:rsid w:val="009126BF"/>
    <w:rsid w:val="009B54D0"/>
    <w:rsid w:val="009F305B"/>
    <w:rsid w:val="00A32EAB"/>
    <w:rsid w:val="00A410BB"/>
    <w:rsid w:val="00A76041"/>
    <w:rsid w:val="00B1420D"/>
    <w:rsid w:val="00B46998"/>
    <w:rsid w:val="00B71788"/>
    <w:rsid w:val="00BF2165"/>
    <w:rsid w:val="00C754F7"/>
    <w:rsid w:val="00C8671B"/>
    <w:rsid w:val="00C93B49"/>
    <w:rsid w:val="00CE14AF"/>
    <w:rsid w:val="00CF0868"/>
    <w:rsid w:val="00CF340B"/>
    <w:rsid w:val="00DB2DA3"/>
    <w:rsid w:val="00DB76CD"/>
    <w:rsid w:val="00DE227F"/>
    <w:rsid w:val="00DE6119"/>
    <w:rsid w:val="00E0459A"/>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6EA3"/>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8360714">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896934191">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470781014">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371&amp;Mode=0" TargetMode="External"/><Relationship Id="rId13" Type="http://schemas.openxmlformats.org/officeDocument/2006/relationships/hyperlink" Target="https://www.rbi.org.in/Scripts/NotificationUser.aspx?Id=8832&amp;Mode=0" TargetMode="External"/><Relationship Id="rId18" Type="http://schemas.openxmlformats.org/officeDocument/2006/relationships/hyperlink" Target="https://prism.rbi.org.in/DAKSH/port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rbidocs.rbi.org.in/rdocs/content/pdfs/RBIOS2021_amendments05082022.pdf" TargetMode="External"/><Relationship Id="rId12" Type="http://schemas.openxmlformats.org/officeDocument/2006/relationships/hyperlink" Target="https://rbi.org.in/Scripts/BS_CircularIndexDisplay.aspx?Id=12382" TargetMode="External"/><Relationship Id="rId17" Type="http://schemas.openxmlformats.org/officeDocument/2006/relationships/hyperlink" Target="https://m.rbi.org.in/Scripts/BS_PressReleaseDisplay.aspx?prid=47819" TargetMode="External"/><Relationship Id="rId2" Type="http://schemas.openxmlformats.org/officeDocument/2006/relationships/numbering" Target="numbering.xml"/><Relationship Id="rId16" Type="http://schemas.openxmlformats.org/officeDocument/2006/relationships/hyperlink" Target="https://www.rbi.org.in/scripts/NotificationUser.aspx?Id=12386&amp;Mode=0" TargetMode="External"/><Relationship Id="rId20" Type="http://schemas.openxmlformats.org/officeDocument/2006/relationships/hyperlink" Target="https://m.rbi.org.in/scripts/FS_Notification.aspx?Id=12431&amp;fn=9&amp;Mode=0" TargetMode="External"/><Relationship Id="rId1" Type="http://schemas.openxmlformats.org/officeDocument/2006/relationships/customXml" Target="../customXml/item1.xml"/><Relationship Id="rId6" Type="http://schemas.openxmlformats.org/officeDocument/2006/relationships/hyperlink" Target="https://www.rbi.org.in/Scripts/NotificationUser.aspx?Id=12192&amp;Mode=0" TargetMode="External"/><Relationship Id="rId11" Type="http://schemas.openxmlformats.org/officeDocument/2006/relationships/hyperlink" Target="https://rbi.org.in/Scripts/BS_CircularIndexDisplay.aspx?Id=12382" TargetMode="External"/><Relationship Id="rId5" Type="http://schemas.openxmlformats.org/officeDocument/2006/relationships/webSettings" Target="webSettings.xml"/><Relationship Id="rId15" Type="http://schemas.openxmlformats.org/officeDocument/2006/relationships/hyperlink" Target="https://rbi.org.in/Scripts/NotificationUser.aspx?Id=8832&amp;Mode=0" TargetMode="External"/><Relationship Id="rId10" Type="http://schemas.openxmlformats.org/officeDocument/2006/relationships/hyperlink" Target="https://rbi.org.in/Scripts/BS_CircularIndexDisplay.aspx?Id=12382" TargetMode="External"/><Relationship Id="rId19" Type="http://schemas.openxmlformats.org/officeDocument/2006/relationships/hyperlink" Target="https://m.rbi.org.in/scripts/FS_Notification.aspx?Id=12431&amp;fn=9&amp;Mode=0" TargetMode="External"/><Relationship Id="rId4" Type="http://schemas.openxmlformats.org/officeDocument/2006/relationships/settings" Target="settings.xml"/><Relationship Id="rId9" Type="http://schemas.openxmlformats.org/officeDocument/2006/relationships/hyperlink" Target="https://www.rbi.org.in/Scripts/BS_PressReleaseDisplay.aspx?prid=54187" TargetMode="External"/><Relationship Id="rId14" Type="http://schemas.openxmlformats.org/officeDocument/2006/relationships/hyperlink" Target="https://rbi.org.in/Scripts/BS_PressReleaseDisplay.aspx?prid=5414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C70FF-ECEA-44B8-9E26-B634870D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2023-02-28T07:20:00Z</dcterms:created>
  <dcterms:modified xsi:type="dcterms:W3CDTF">2023-02-28T07:26:00Z</dcterms:modified>
</cp:coreProperties>
</file>